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A0" w:rsidRDefault="00664AFF" w:rsidP="009062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A21DD">
        <w:rPr>
          <w:rFonts w:ascii="Times New Roman" w:hAnsi="Times New Roman" w:cs="Times New Roman"/>
          <w:b/>
          <w:sz w:val="32"/>
        </w:rPr>
        <w:t>ПОЯСНИТЕЛЬНАЯ ЗАПИСКА</w:t>
      </w:r>
    </w:p>
    <w:p w:rsidR="00395630" w:rsidRDefault="00664AFF" w:rsidP="009062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AFF">
        <w:rPr>
          <w:rFonts w:ascii="Times New Roman" w:hAnsi="Times New Roman" w:cs="Times New Roman"/>
          <w:b/>
          <w:sz w:val="32"/>
          <w:szCs w:val="32"/>
        </w:rPr>
        <w:t xml:space="preserve">к проекту внесения изменений в Правила </w:t>
      </w:r>
    </w:p>
    <w:p w:rsidR="00664AFF" w:rsidRPr="00E41A76" w:rsidRDefault="00664AFF" w:rsidP="009062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AFF">
        <w:rPr>
          <w:rFonts w:ascii="Times New Roman" w:hAnsi="Times New Roman" w:cs="Times New Roman"/>
          <w:b/>
          <w:sz w:val="32"/>
          <w:szCs w:val="32"/>
        </w:rPr>
        <w:t>землепользования и застройки города Москвы</w:t>
      </w:r>
      <w:r w:rsidR="0063481F">
        <w:rPr>
          <w:rFonts w:ascii="Times New Roman" w:hAnsi="Times New Roman" w:cs="Times New Roman"/>
          <w:b/>
          <w:sz w:val="32"/>
          <w:szCs w:val="32"/>
        </w:rPr>
        <w:br/>
        <w:t>в части</w:t>
      </w:r>
      <w:r w:rsidR="00E41A76">
        <w:rPr>
          <w:rFonts w:ascii="Times New Roman" w:hAnsi="Times New Roman" w:cs="Times New Roman"/>
          <w:b/>
          <w:sz w:val="32"/>
          <w:szCs w:val="32"/>
        </w:rPr>
        <w:t xml:space="preserve"> территории по адресу:</w:t>
      </w:r>
    </w:p>
    <w:p w:rsidR="00120E5B" w:rsidRPr="00120E5B" w:rsidRDefault="00120E5B" w:rsidP="00120E5B">
      <w:pPr>
        <w:jc w:val="center"/>
        <w:rPr>
          <w:rFonts w:ascii="Times New Roman" w:hAnsi="Times New Roman"/>
          <w:b/>
          <w:sz w:val="32"/>
          <w:szCs w:val="32"/>
        </w:rPr>
      </w:pPr>
      <w:r w:rsidRPr="00120E5B">
        <w:rPr>
          <w:rFonts w:ascii="Times New Roman" w:hAnsi="Times New Roman"/>
          <w:b/>
          <w:sz w:val="32"/>
          <w:szCs w:val="32"/>
        </w:rPr>
        <w:t xml:space="preserve">проезд Сигнальный, вл. 16 </w:t>
      </w:r>
    </w:p>
    <w:p w:rsidR="00120E5B" w:rsidRDefault="00120E5B" w:rsidP="00120E5B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 w:rsidRPr="00120E5B">
        <w:rPr>
          <w:rFonts w:ascii="Times New Roman" w:hAnsi="Times New Roman"/>
          <w:b/>
          <w:color w:val="000000"/>
          <w:sz w:val="32"/>
          <w:szCs w:val="32"/>
        </w:rPr>
        <w:t>(</w:t>
      </w:r>
      <w:proofErr w:type="spellStart"/>
      <w:r w:rsidRPr="00120E5B">
        <w:rPr>
          <w:rFonts w:ascii="Times New Roman" w:hAnsi="Times New Roman"/>
          <w:b/>
          <w:color w:val="000000"/>
          <w:sz w:val="32"/>
          <w:szCs w:val="32"/>
        </w:rPr>
        <w:t>кад</w:t>
      </w:r>
      <w:proofErr w:type="spellEnd"/>
      <w:r w:rsidRPr="00120E5B">
        <w:rPr>
          <w:rFonts w:ascii="Times New Roman" w:hAnsi="Times New Roman"/>
          <w:b/>
          <w:color w:val="000000"/>
          <w:sz w:val="32"/>
          <w:szCs w:val="32"/>
        </w:rPr>
        <w:t xml:space="preserve">. №№ </w:t>
      </w:r>
      <w:r w:rsidRPr="00120E5B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77:02:0009003:10, 77:02:0009003:4, </w:t>
      </w:r>
    </w:p>
    <w:p w:rsidR="00120E5B" w:rsidRPr="00120E5B" w:rsidRDefault="00120E5B" w:rsidP="00120E5B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0E5B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77:02:0009003:17, 77:02:0009003:13)</w:t>
      </w:r>
    </w:p>
    <w:p w:rsidR="00120E5B" w:rsidRPr="00120E5B" w:rsidRDefault="00120E5B" w:rsidP="00120E5B">
      <w:pPr>
        <w:shd w:val="clear" w:color="auto" w:fill="FFFFFF"/>
        <w:ind w:right="22"/>
        <w:jc w:val="center"/>
        <w:rPr>
          <w:color w:val="FF0000"/>
          <w:sz w:val="32"/>
          <w:szCs w:val="32"/>
        </w:rPr>
      </w:pPr>
      <w:r w:rsidRPr="00120E5B">
        <w:rPr>
          <w:rFonts w:ascii="Times New Roman" w:hAnsi="Times New Roman"/>
          <w:b/>
          <w:sz w:val="32"/>
          <w:szCs w:val="32"/>
        </w:rPr>
        <w:t>СВАО</w:t>
      </w:r>
    </w:p>
    <w:p w:rsidR="00120E5B" w:rsidRPr="00120E5B" w:rsidRDefault="00120E5B" w:rsidP="00120E5B">
      <w:pPr>
        <w:pStyle w:val="a5"/>
        <w:numPr>
          <w:ilvl w:val="1"/>
          <w:numId w:val="2"/>
        </w:numPr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С</w:t>
      </w:r>
      <w:r w:rsidRPr="00120E5B">
        <w:rPr>
          <w:rFonts w:cs="Calibri"/>
          <w:bCs/>
          <w:color w:val="000000"/>
          <w:sz w:val="24"/>
          <w:szCs w:val="24"/>
        </w:rPr>
        <w:t>формировать территориальную зону ориентировочной площадью 3,8 га и установить градостроительный регламент: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Основные виды разрешенного использования: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 (2.6.0);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строительства, размещение которых предусмотрено видами разрешенного использования с кодами 3.1.2</w:t>
      </w:r>
      <w:r>
        <w:rPr>
          <w:rFonts w:cs="Calibri"/>
          <w:bCs/>
          <w:color w:val="000000"/>
          <w:sz w:val="24"/>
          <w:szCs w:val="24"/>
        </w:rPr>
        <w:t>, 3.1.3, 3.2.2, 3.2.3, 3.2.4, 3.3.0, 3.4.1.0, 3.5.1.0, 3.6.1</w:t>
      </w:r>
      <w:r w:rsidRPr="00887ED9">
        <w:rPr>
          <w:rFonts w:cs="Calibri"/>
          <w:bCs/>
          <w:color w:val="000000"/>
          <w:sz w:val="24"/>
          <w:szCs w:val="24"/>
        </w:rPr>
        <w:t>, 3.7.1, 3.8.2, 3.10.1.0, 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 (2.7.0);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 (2.7.1.0);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 (4.1.0);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 и (или) оказание услуг в соответствии с содержанием видов разрешенного использования с кодами 4.5.0, 4.6.0, 4.8.0, 4.9.0; размещение гаражей и (или) стоянок для автомобилей сотрудников и посетителей торгового центра (4.2.0);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lastRenderedPageBreak/>
        <w:t>-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 (4.3.0);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строительства, предназначенных для продажи товаров, торговая площадь которых составляет до 5000 кв. м (4.4.0);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строительства, предназначенных для размещения организаций, оказывающих банковские и страховые услуги (4.5.0);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 в целях устройства мест общественного питания (рестораны, кафе, столовые, закусочные, бары) (4.6.0);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 и т.п., игровых автоматов (кроме игрового оборудования, используемого для проведения азартных игр), игровых площадок (4.8.0);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постоянных или временных гаражей с несколькими стояночными местами, стоянок (парковок), гаражей, в том числе многоярусных, не</w:t>
      </w:r>
      <w:r w:rsidR="001E47A6">
        <w:rPr>
          <w:rFonts w:cs="Calibri"/>
          <w:bCs/>
          <w:color w:val="000000"/>
          <w:sz w:val="24"/>
          <w:szCs w:val="24"/>
        </w:rPr>
        <w:t xml:space="preserve"> указанных в коде 2.7.1.0 </w:t>
      </w:r>
      <w:r w:rsidRPr="00887ED9">
        <w:rPr>
          <w:rFonts w:cs="Calibri"/>
          <w:bCs/>
          <w:color w:val="000000"/>
          <w:sz w:val="24"/>
          <w:szCs w:val="24"/>
        </w:rPr>
        <w:t>(4.9.0);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- размещение объектов капитального строительства, сооружений, предназначенных для осуществления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выставочно</w:t>
      </w:r>
      <w:proofErr w:type="spellEnd"/>
      <w:r w:rsidRPr="00887ED9">
        <w:rPr>
          <w:rFonts w:cs="Calibri"/>
          <w:bCs/>
          <w:color w:val="000000"/>
          <w:sz w:val="24"/>
          <w:szCs w:val="24"/>
        </w:rPr>
        <w:t xml:space="preserve">-ярмарочной и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конгрессной</w:t>
      </w:r>
      <w:proofErr w:type="spellEnd"/>
      <w:r w:rsidRPr="00887ED9">
        <w:rPr>
          <w:rFonts w:cs="Calibri"/>
          <w:bCs/>
          <w:color w:val="000000"/>
          <w:sz w:val="24"/>
          <w:szCs w:val="24"/>
        </w:rPr>
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 (4.10.0);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береговых полос водных объектов общего пользования, скверов, бульваров, парков, садов, велодорожек и объектов вело-транспортной инфраструктуры, малых архитектурных форм (12.0.1);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вело-транспортной инфраструктуры (12.0.2).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1,39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47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120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Максимальный процент застройки в границах земельного участка – не установлен. 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0,62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51,7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120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Максимальный процент застройки в границах земельного участка – не установлен. 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lastRenderedPageBreak/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0,04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0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0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Максимальный процент застройки в границах земельного участка – 0 %.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1,62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62,1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120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Максимальный процент застройки в границах земельного участка – не установлен. 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0,13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0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0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Максимальный процент застройки в границах земельного участка – 0 %.</w:t>
      </w:r>
    </w:p>
    <w:p w:rsidR="00120E5B" w:rsidRDefault="00120E5B" w:rsidP="00120E5B">
      <w:pPr>
        <w:jc w:val="both"/>
        <w:rPr>
          <w:rFonts w:cs="Calibri"/>
          <w:bCs/>
          <w:color w:val="000000"/>
          <w:sz w:val="24"/>
          <w:szCs w:val="24"/>
        </w:rPr>
      </w:pPr>
    </w:p>
    <w:p w:rsidR="00120E5B" w:rsidRPr="00120E5B" w:rsidRDefault="00120E5B" w:rsidP="00120E5B">
      <w:pPr>
        <w:pStyle w:val="a5"/>
        <w:numPr>
          <w:ilvl w:val="1"/>
          <w:numId w:val="2"/>
        </w:numPr>
        <w:jc w:val="both"/>
        <w:rPr>
          <w:rFonts w:cs="Calibri"/>
          <w:bCs/>
          <w:color w:val="000000"/>
          <w:sz w:val="24"/>
          <w:szCs w:val="24"/>
        </w:rPr>
      </w:pPr>
      <w:r w:rsidRPr="00120E5B">
        <w:rPr>
          <w:rFonts w:cs="Calibri"/>
          <w:bCs/>
          <w:color w:val="000000"/>
          <w:sz w:val="24"/>
          <w:szCs w:val="24"/>
        </w:rPr>
        <w:t>Сформировать территориальную зону ориентировочной площадью 3,29 га и установить градостроительный регламент: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Основные виды разрешенного использования: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 (2.6.0);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строительства, размещение которых предусмотрено видами разрешенного использования с кодами 3.1.2</w:t>
      </w:r>
      <w:r>
        <w:rPr>
          <w:rFonts w:cs="Calibri"/>
          <w:bCs/>
          <w:color w:val="000000"/>
          <w:sz w:val="24"/>
          <w:szCs w:val="24"/>
        </w:rPr>
        <w:t>, 3.1.3, 3.2.2, 3.2.3, 3.2.4, 3.3.0, 3.4.1.0, 3.5.1.0, 3.6.1</w:t>
      </w:r>
      <w:r w:rsidRPr="00887ED9">
        <w:rPr>
          <w:rFonts w:cs="Calibri"/>
          <w:bCs/>
          <w:color w:val="000000"/>
          <w:sz w:val="24"/>
          <w:szCs w:val="24"/>
        </w:rPr>
        <w:t>, 3.7.1, 3.8.2, 3.10.1.0, 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 (2.7.0);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 (2.7.1.0);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lastRenderedPageBreak/>
        <w:t>-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 (4.1.0);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 и (или) оказание услуг в соответствии с содержанием видов разрешенного использования с кодами 4.5.0, 4.6.0, 4.8.0, 4.9.0; размещение гаражей и (или) стоянок для автомобилей сотрудников и посетителей торгового центра (4.2.0);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 (4.3.0);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строительства, предназначенных для продажи товаров, торговая площадь которых составляет до 5000 кв. м (4.4.0);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строительства, предназначенных для размещения организаций, оказывающих банковские и страховые услуги (4.5.0);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 в целях устройства мест общественного питания (рестораны, кафе, столовые, закусочные, бары) (4.6.0);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 и т.п., игровых автоматов (кроме игрового оборудования, используемого для проведения азартных игр), игровых площадок (4.8.0);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 (4.9.0);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- размещение объектов капитального строительства, сооружений, предназначенных для осуществления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выставочно</w:t>
      </w:r>
      <w:proofErr w:type="spellEnd"/>
      <w:r w:rsidRPr="00887ED9">
        <w:rPr>
          <w:rFonts w:cs="Calibri"/>
          <w:bCs/>
          <w:color w:val="000000"/>
          <w:sz w:val="24"/>
          <w:szCs w:val="24"/>
        </w:rPr>
        <w:t xml:space="preserve">-ярмарочной и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конгрессной</w:t>
      </w:r>
      <w:proofErr w:type="spellEnd"/>
      <w:r w:rsidRPr="00887ED9">
        <w:rPr>
          <w:rFonts w:cs="Calibri"/>
          <w:bCs/>
          <w:color w:val="000000"/>
          <w:sz w:val="24"/>
          <w:szCs w:val="24"/>
        </w:rPr>
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 (4.10.0);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береговых полос водных объектов общего пользования, скверов, бульваров, парков, садов, велодорожек и объектов вело-транспортной инфраструктуры, малых архитектурных форм (12.0.1);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вело-транспортной инфраструктуры (12.0.2).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3,22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72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lastRenderedPageBreak/>
        <w:t>Предельное количество этажей или предельная высота зданий, строений, сооружений – 120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Максимальный процент застройки в границах земельного участка – не установлен. 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0,06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0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0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Максимальный процент застройки в границах земельного участка – 0 %.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0,01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0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0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Максимальный процент застройки в границах земельного участка – 0 %.</w:t>
      </w:r>
    </w:p>
    <w:p w:rsidR="00120E5B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</w:p>
    <w:p w:rsidR="00120E5B" w:rsidRDefault="00120E5B" w:rsidP="00120E5B">
      <w:pPr>
        <w:pStyle w:val="a5"/>
        <w:numPr>
          <w:ilvl w:val="1"/>
          <w:numId w:val="2"/>
        </w:numPr>
        <w:jc w:val="both"/>
        <w:rPr>
          <w:rFonts w:cs="Calibri"/>
          <w:bCs/>
          <w:color w:val="000000"/>
          <w:sz w:val="24"/>
          <w:szCs w:val="24"/>
        </w:rPr>
      </w:pPr>
      <w:r w:rsidRPr="00120E5B">
        <w:rPr>
          <w:rFonts w:cs="Calibri"/>
          <w:bCs/>
          <w:color w:val="000000"/>
          <w:sz w:val="24"/>
          <w:szCs w:val="24"/>
        </w:rPr>
        <w:t>Сформировать территориальную зону ориентировочной площадью 2,38 га и установить градостроительный регламент:</w:t>
      </w:r>
    </w:p>
    <w:p w:rsidR="00120E5B" w:rsidRDefault="00120E5B" w:rsidP="00120E5B">
      <w:pPr>
        <w:pStyle w:val="a5"/>
        <w:ind w:left="360"/>
        <w:jc w:val="both"/>
        <w:rPr>
          <w:rFonts w:cs="Calibri"/>
          <w:bCs/>
          <w:color w:val="000000"/>
          <w:sz w:val="24"/>
          <w:szCs w:val="24"/>
        </w:rPr>
      </w:pPr>
    </w:p>
    <w:p w:rsidR="00120E5B" w:rsidRPr="00120E5B" w:rsidRDefault="00120E5B" w:rsidP="00120E5B">
      <w:pPr>
        <w:pStyle w:val="a5"/>
        <w:ind w:left="360"/>
        <w:jc w:val="both"/>
        <w:rPr>
          <w:rFonts w:cs="Calibri"/>
          <w:bCs/>
          <w:color w:val="000000"/>
          <w:sz w:val="24"/>
          <w:szCs w:val="24"/>
        </w:rPr>
      </w:pPr>
      <w:r w:rsidRPr="00120E5B">
        <w:rPr>
          <w:rFonts w:cs="Calibri"/>
          <w:bCs/>
          <w:color w:val="000000"/>
          <w:sz w:val="24"/>
          <w:szCs w:val="24"/>
        </w:rPr>
        <w:t>Основные виды разрешенного использования: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 (3.5.1.0);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 (3.1.1);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береговых полос водных объектов общего пользования, скверов, бульваров, парков, садов, велодорожек и объектов вело-транспортной инфраструктуры, малых архитектурных форм (12.0.1);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вело-транспортной инфраструктуры (12.0.2).</w:t>
      </w:r>
    </w:p>
    <w:p w:rsidR="00120E5B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lastRenderedPageBreak/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0,75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6,7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16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Максимальный процент застройки в границах земельного участка – не установлен.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1,25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9,6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20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Максимальный процент застройки в границах земельного участка – не установлен. 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0,16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0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0 м.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Максимальный процент застройки в границах земельного участка – 0 %.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0,08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0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0 м.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Максимальный процент застройки в границах земельного участка – 0 %.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  <w:u w:val="single"/>
        </w:rPr>
      </w:pPr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Для </w:t>
      </w:r>
      <w:proofErr w:type="spellStart"/>
      <w:r w:rsidRPr="00887ED9">
        <w:rPr>
          <w:rFonts w:cs="Calibri"/>
          <w:bCs/>
          <w:color w:val="000000"/>
          <w:sz w:val="24"/>
          <w:szCs w:val="24"/>
          <w:u w:val="single"/>
        </w:rPr>
        <w:t>подзоны</w:t>
      </w:r>
      <w:proofErr w:type="spellEnd"/>
      <w:r w:rsidRPr="00887ED9">
        <w:rPr>
          <w:rFonts w:cs="Calibri"/>
          <w:bCs/>
          <w:color w:val="000000"/>
          <w:sz w:val="24"/>
          <w:szCs w:val="24"/>
          <w:u w:val="single"/>
        </w:rPr>
        <w:t xml:space="preserve"> ориентировочной площадью 0,14 га установить: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0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0 м.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Максимальный процент застройки в границах земельного участка – 0 %.</w:t>
      </w:r>
    </w:p>
    <w:p w:rsidR="00120E5B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</w:p>
    <w:p w:rsidR="00120E5B" w:rsidRPr="00120E5B" w:rsidRDefault="00120E5B" w:rsidP="00120E5B">
      <w:pPr>
        <w:pStyle w:val="a5"/>
        <w:numPr>
          <w:ilvl w:val="1"/>
          <w:numId w:val="2"/>
        </w:numPr>
        <w:jc w:val="both"/>
        <w:rPr>
          <w:rFonts w:cs="Calibri"/>
          <w:bCs/>
          <w:color w:val="000000"/>
          <w:sz w:val="24"/>
          <w:szCs w:val="24"/>
        </w:rPr>
      </w:pPr>
      <w:r w:rsidRPr="00120E5B">
        <w:rPr>
          <w:rFonts w:cs="Calibri"/>
          <w:bCs/>
          <w:color w:val="000000"/>
          <w:sz w:val="24"/>
          <w:szCs w:val="24"/>
        </w:rPr>
        <w:t>Сформировать территориальную зону ориентировочной площадью 1,1 га и установить градостроительный регламент: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Основные виды разрешенного использования</w:t>
      </w:r>
      <w:r>
        <w:rPr>
          <w:rFonts w:cs="Calibri"/>
          <w:bCs/>
          <w:color w:val="000000"/>
          <w:sz w:val="24"/>
          <w:szCs w:val="24"/>
        </w:rPr>
        <w:t>, которые предлагается установить</w:t>
      </w:r>
      <w:r w:rsidRPr="00887ED9">
        <w:rPr>
          <w:rFonts w:cs="Calibri"/>
          <w:bCs/>
          <w:color w:val="000000"/>
          <w:sz w:val="24"/>
          <w:szCs w:val="24"/>
        </w:rPr>
        <w:t>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-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</w:t>
      </w:r>
      <w:r w:rsidRPr="00887ED9">
        <w:rPr>
          <w:rFonts w:cs="Calibri"/>
          <w:bCs/>
          <w:color w:val="000000"/>
          <w:sz w:val="24"/>
          <w:szCs w:val="24"/>
        </w:rPr>
        <w:lastRenderedPageBreak/>
        <w:t>газопроводов, линий связи, телефонных станций, канализаций, стоянок, гаражей и мастерских для обслуживания уборочной и аварийной техники) (3.1.1);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 (4.9.0);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береговых полос водных объектов общего пользования, скверов, бульваров, парков, садов, велодорожек и объектов вело-транспортной инфраструктуры, малых архитектурных форм (12.0.1);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вело-транспортной инфраструктуры (12.0.2).</w:t>
      </w:r>
    </w:p>
    <w:p w:rsidR="00120E5B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 xml:space="preserve">Предельная плотность застройки земельного участка – 0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0 м;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Максимальный процент застройки в границах земельного участка – 0 %.</w:t>
      </w:r>
    </w:p>
    <w:p w:rsidR="00120E5B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</w:p>
    <w:p w:rsidR="00120E5B" w:rsidRPr="00120E5B" w:rsidRDefault="00120E5B" w:rsidP="00120E5B">
      <w:pPr>
        <w:pStyle w:val="a5"/>
        <w:numPr>
          <w:ilvl w:val="1"/>
          <w:numId w:val="2"/>
        </w:numPr>
        <w:jc w:val="both"/>
        <w:rPr>
          <w:rFonts w:cs="Calibri"/>
          <w:bCs/>
          <w:color w:val="000000"/>
          <w:sz w:val="24"/>
          <w:szCs w:val="24"/>
        </w:rPr>
      </w:pPr>
      <w:r w:rsidRPr="00120E5B">
        <w:rPr>
          <w:rFonts w:cs="Calibri"/>
          <w:bCs/>
          <w:color w:val="000000"/>
          <w:sz w:val="24"/>
          <w:szCs w:val="24"/>
        </w:rPr>
        <w:t>Сформировать территориальную зону ориентировочной площадью 0,6 га и установить градостроительный регламент: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Основные виды разрешенного использования: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 (3.1.1);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 (4.9.0);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береговых полос водных объектов общего пользования, скверов, бульваров, парков, садов, велодорожек и объектов вело-транспортной инфраструктуры, малых архитектурных форм (12.0.1);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вело-транспортной инфраструктуры (12.0.2).</w:t>
      </w:r>
    </w:p>
    <w:p w:rsidR="00120E5B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lastRenderedPageBreak/>
        <w:t xml:space="preserve">Предельная плотность застройки земельного участка – 0 </w:t>
      </w:r>
      <w:proofErr w:type="spellStart"/>
      <w:r w:rsidRPr="00887ED9">
        <w:rPr>
          <w:rFonts w:cs="Calibri"/>
          <w:bCs/>
          <w:color w:val="000000"/>
          <w:sz w:val="24"/>
          <w:szCs w:val="24"/>
        </w:rPr>
        <w:t>тыс.</w:t>
      </w:r>
      <w:proofErr w:type="gramStart"/>
      <w:r w:rsidRPr="00887ED9">
        <w:rPr>
          <w:rFonts w:cs="Calibri"/>
          <w:bCs/>
          <w:color w:val="000000"/>
          <w:sz w:val="24"/>
          <w:szCs w:val="24"/>
        </w:rPr>
        <w:t>кв.м</w:t>
      </w:r>
      <w:proofErr w:type="spellEnd"/>
      <w:proofErr w:type="gramEnd"/>
      <w:r w:rsidRPr="00887ED9">
        <w:rPr>
          <w:rFonts w:cs="Calibri"/>
          <w:bCs/>
          <w:color w:val="000000"/>
          <w:sz w:val="24"/>
          <w:szCs w:val="24"/>
        </w:rPr>
        <w:t>/га.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 – 0 м.</w:t>
      </w:r>
    </w:p>
    <w:p w:rsidR="00120E5B" w:rsidRPr="00887ED9" w:rsidRDefault="00120E5B" w:rsidP="00120E5B">
      <w:pPr>
        <w:ind w:firstLine="709"/>
        <w:jc w:val="both"/>
        <w:rPr>
          <w:rFonts w:cs="Calibri"/>
          <w:bCs/>
          <w:color w:val="000000"/>
          <w:sz w:val="24"/>
          <w:szCs w:val="24"/>
        </w:rPr>
      </w:pPr>
      <w:r w:rsidRPr="00887ED9">
        <w:rPr>
          <w:rFonts w:cs="Calibri"/>
          <w:bCs/>
          <w:color w:val="000000"/>
          <w:sz w:val="24"/>
          <w:szCs w:val="24"/>
        </w:rPr>
        <w:t>Максимальный процент застройки в границах земельного участка – 0 %.</w:t>
      </w:r>
    </w:p>
    <w:p w:rsidR="003C4970" w:rsidRPr="003C4970" w:rsidRDefault="003C4970" w:rsidP="00E93964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3C4970" w:rsidRPr="003C4970" w:rsidSect="00D559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802D7"/>
    <w:multiLevelType w:val="multilevel"/>
    <w:tmpl w:val="5030C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6D12E1"/>
    <w:multiLevelType w:val="multilevel"/>
    <w:tmpl w:val="A01E0D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AFF"/>
    <w:rsid w:val="000A7782"/>
    <w:rsid w:val="00120E5B"/>
    <w:rsid w:val="001E47A6"/>
    <w:rsid w:val="001F58A1"/>
    <w:rsid w:val="00395630"/>
    <w:rsid w:val="003B1A4C"/>
    <w:rsid w:val="003C4970"/>
    <w:rsid w:val="003C7D82"/>
    <w:rsid w:val="004A14AB"/>
    <w:rsid w:val="005B36EC"/>
    <w:rsid w:val="00603D14"/>
    <w:rsid w:val="0063481F"/>
    <w:rsid w:val="00655E36"/>
    <w:rsid w:val="00664AFF"/>
    <w:rsid w:val="006C6005"/>
    <w:rsid w:val="007065F3"/>
    <w:rsid w:val="007D0021"/>
    <w:rsid w:val="00821EB7"/>
    <w:rsid w:val="008E4959"/>
    <w:rsid w:val="00906241"/>
    <w:rsid w:val="00A537DE"/>
    <w:rsid w:val="00A65FC9"/>
    <w:rsid w:val="00AA4D9D"/>
    <w:rsid w:val="00B254E6"/>
    <w:rsid w:val="00B57B56"/>
    <w:rsid w:val="00B8042F"/>
    <w:rsid w:val="00D31735"/>
    <w:rsid w:val="00D559B1"/>
    <w:rsid w:val="00D715D6"/>
    <w:rsid w:val="00DA69CE"/>
    <w:rsid w:val="00DC7AA0"/>
    <w:rsid w:val="00DE3B91"/>
    <w:rsid w:val="00E41A76"/>
    <w:rsid w:val="00E44890"/>
    <w:rsid w:val="00E93964"/>
    <w:rsid w:val="00F11710"/>
    <w:rsid w:val="00F4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6755"/>
  <w15:docId w15:val="{27C79C96-8F5F-4B0E-8542-324A10A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8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56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g-binding">
    <w:name w:val="ng-binding"/>
    <w:basedOn w:val="a0"/>
    <w:rsid w:val="003C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Гачечиладзе Е. М.</dc:creator>
  <cp:keywords/>
  <dc:description/>
  <cp:lastModifiedBy>Стрекалова Наталья Геннадьевна</cp:lastModifiedBy>
  <cp:revision>18</cp:revision>
  <cp:lastPrinted>2019-04-16T07:21:00Z</cp:lastPrinted>
  <dcterms:created xsi:type="dcterms:W3CDTF">2019-05-23T12:05:00Z</dcterms:created>
  <dcterms:modified xsi:type="dcterms:W3CDTF">2019-11-18T14:28:00Z</dcterms:modified>
</cp:coreProperties>
</file>